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tLeast" w:line="2" w:before="0" w:after="0"/>
        <w:rPr>
          <w:rFonts w:ascii="Calibri" w:hAnsi="Calibri" w:cs="Calibri" w:asciiTheme="minorHAnsi" w:cstheme="minorHAnsi" w:hAnsiTheme="minorHAnsi"/>
        </w:rPr>
      </w:pPr>
      <w:r>
        <w:rPr>
          <w:rFonts w:cs="Calibri" w:cstheme="minorHAnsi"/>
        </w:rPr>
        <w:t>Absender</w:t>
      </w:r>
    </w:p>
    <w:p>
      <w:pPr>
        <w:pStyle w:val="Normal"/>
        <w:widowControl w:val="false"/>
        <w:spacing w:lineRule="atLeast" w:line="2" w:before="0" w:after="0"/>
        <w:rPr>
          <w:rFonts w:ascii="Calibri" w:hAnsi="Calibri" w:cs="Calibri" w:asciiTheme="minorHAnsi" w:cstheme="minorHAnsi" w:hAnsiTheme="minorHAnsi"/>
        </w:rPr>
      </w:pPr>
      <w:r>
        <w:rPr>
          <w:rFonts w:cs="Calibri" w:cstheme="minorHAnsi"/>
        </w:rPr>
        <w:t xml:space="preserve">(Straße…) </w:t>
      </w:r>
    </w:p>
    <w:p>
      <w:pPr>
        <w:pStyle w:val="Normal"/>
        <w:widowControl w:val="false"/>
        <w:spacing w:lineRule="atLeast" w:line="2" w:before="0" w:after="0"/>
        <w:rPr>
          <w:rFonts w:ascii="Calibri" w:hAnsi="Calibri" w:cs="Calibri" w:asciiTheme="minorHAnsi" w:cstheme="minorHAnsi" w:hAnsiTheme="minorHAnsi"/>
        </w:rPr>
      </w:pPr>
      <w:r>
        <w:rPr>
          <w:rFonts w:cs="Calibri" w:cstheme="minorHAnsi"/>
        </w:rPr>
        <w:t>(Postleitzahl, Ort)</w:t>
      </w:r>
    </w:p>
    <w:p>
      <w:pPr>
        <w:pStyle w:val="Normal"/>
        <w:widowControl w:val="false"/>
        <w:spacing w:lineRule="atLeast" w:line="2" w:before="0" w:after="0"/>
        <w:rPr>
          <w:rFonts w:ascii="Calibri" w:hAnsi="Calibri" w:cs="Calibri" w:asciiTheme="minorHAnsi" w:cstheme="minorHAnsi" w:hAnsiTheme="minorHAnsi"/>
        </w:rPr>
      </w:pPr>
      <w:r>
        <w:rPr>
          <w:rFonts w:cs="Calibri" w:cstheme="minorHAnsi"/>
        </w:rPr>
      </w:r>
    </w:p>
    <w:p>
      <w:pPr>
        <w:pStyle w:val="Normal"/>
        <w:widowControl w:val="false"/>
        <w:spacing w:lineRule="atLeast" w:line="2" w:before="0" w:after="0"/>
        <w:rPr>
          <w:rFonts w:ascii="Calibri" w:hAnsi="Calibri" w:cs="Calibri" w:asciiTheme="minorHAnsi" w:cstheme="minorHAnsi" w:hAnsiTheme="minorHAnsi"/>
        </w:rPr>
      </w:pPr>
      <w:r>
        <w:rPr>
          <w:rFonts w:cs="Calibri" w:cstheme="minorHAnsi"/>
        </w:rPr>
      </w:r>
    </w:p>
    <w:p>
      <w:pPr>
        <w:pStyle w:val="Normal"/>
        <w:widowControl w:val="false"/>
        <w:spacing w:lineRule="atLeast" w:line="2" w:before="0" w:after="0"/>
        <w:rPr>
          <w:rFonts w:ascii="Calibri" w:hAnsi="Calibri" w:cs="Calibri" w:asciiTheme="minorHAnsi" w:cstheme="minorHAnsi" w:hAnsiTheme="minorHAnsi"/>
        </w:rPr>
      </w:pPr>
      <w:r>
        <w:rPr>
          <w:rFonts w:cs="Calibri" w:cstheme="minorHAnsi"/>
        </w:rPr>
      </w:r>
    </w:p>
    <w:p>
      <w:pPr>
        <w:pStyle w:val="Normal"/>
        <w:widowControl w:val="false"/>
        <w:spacing w:lineRule="atLeast" w:line="2" w:before="0" w:after="0"/>
        <w:rPr>
          <w:rFonts w:ascii="Calibri" w:hAnsi="Calibri" w:cs="Calibri" w:asciiTheme="minorHAnsi" w:cstheme="minorHAnsi" w:hAnsiTheme="minorHAnsi"/>
        </w:rPr>
      </w:pPr>
      <w:r>
        <w:rPr>
          <w:rFonts w:cs="Calibri" w:cstheme="minorHAnsi"/>
        </w:rPr>
        <w:t>Verwaltungsgericht (zB: Frankfurt a.M.)</w:t>
      </w:r>
    </w:p>
    <w:p>
      <w:pPr>
        <w:pStyle w:val="Normal"/>
        <w:widowControl w:val="false"/>
        <w:spacing w:lineRule="atLeast" w:line="2" w:before="0" w:after="0"/>
        <w:rPr>
          <w:rFonts w:ascii="Calibri" w:hAnsi="Calibri" w:cs="Calibri" w:asciiTheme="minorHAnsi" w:cstheme="minorHAnsi" w:hAnsiTheme="minorHAnsi"/>
        </w:rPr>
      </w:pPr>
      <w:r>
        <w:rPr>
          <w:rFonts w:cs="Calibri" w:cstheme="minorHAnsi"/>
        </w:rPr>
        <w:t>(Straße....)</w:t>
      </w:r>
    </w:p>
    <w:p>
      <w:pPr>
        <w:pStyle w:val="Normal"/>
        <w:widowControl w:val="false"/>
        <w:spacing w:lineRule="atLeast" w:line="2" w:before="0" w:after="0"/>
        <w:rPr>
          <w:rFonts w:ascii="Calibri" w:hAnsi="Calibri" w:cs="Calibri" w:asciiTheme="minorHAnsi" w:cstheme="minorHAnsi" w:hAnsiTheme="minorHAnsi"/>
        </w:rPr>
      </w:pPr>
      <w:r>
        <w:rPr>
          <w:rFonts w:cs="Calibri" w:cstheme="minorHAnsi"/>
        </w:rPr>
        <w:t>(Postleitzahl, Ort)</w:t>
      </w:r>
    </w:p>
    <w:p>
      <w:pPr>
        <w:pStyle w:val="Normal"/>
        <w:widowControl w:val="false"/>
        <w:spacing w:lineRule="atLeast" w:line="2" w:before="0" w:after="0"/>
        <w:rPr>
          <w:rFonts w:ascii="Calibri" w:hAnsi="Calibri" w:cs="Calibri" w:asciiTheme="minorHAnsi" w:cstheme="minorHAnsi" w:hAnsiTheme="minorHAnsi"/>
        </w:rPr>
      </w:pPr>
      <w:r>
        <w:rPr>
          <w:rFonts w:cs="Calibri" w:cstheme="minorHAnsi"/>
        </w:rPr>
      </w:r>
    </w:p>
    <w:p>
      <w:pPr>
        <w:pStyle w:val="Normal"/>
        <w:widowControl w:val="false"/>
        <w:spacing w:lineRule="atLeast" w:line="2" w:before="0" w:after="0"/>
        <w:rPr>
          <w:rFonts w:ascii="Calibri" w:hAnsi="Calibri" w:cs="Calibri" w:asciiTheme="minorHAnsi" w:cstheme="minorHAnsi" w:hAnsiTheme="minorHAnsi"/>
        </w:rPr>
      </w:pPr>
      <w:r>
        <w:rPr>
          <w:rFonts w:cs="Calibri" w:cstheme="minorHAnsi"/>
        </w:rPr>
      </w:r>
    </w:p>
    <w:p>
      <w:pPr>
        <w:pStyle w:val="Normal"/>
        <w:widowControl w:val="false"/>
        <w:spacing w:lineRule="atLeast" w:line="2" w:before="0" w:after="0"/>
        <w:rPr>
          <w:rFonts w:ascii="Calibri" w:hAnsi="Calibri" w:cs="Calibri" w:asciiTheme="minorHAnsi" w:cstheme="minorHAnsi" w:hAnsiTheme="minorHAnsi"/>
        </w:rPr>
      </w:pPr>
      <w:r>
        <w:rPr>
          <w:rFonts w:cs="Calibri" w:cstheme="minorHAnsi"/>
        </w:rPr>
      </w:r>
    </w:p>
    <w:p>
      <w:pPr>
        <w:pStyle w:val="Normal"/>
        <w:widowControl w:val="false"/>
        <w:spacing w:lineRule="atLeast" w:line="2" w:before="0" w:after="0"/>
        <w:rPr>
          <w:rFonts w:ascii="Calibri" w:hAnsi="Calibri" w:cs="Calibri" w:asciiTheme="minorHAnsi" w:cstheme="minorHAnsi" w:hAnsiTheme="minorHAnsi"/>
        </w:rPr>
      </w:pPr>
      <w:r>
        <w:rPr>
          <w:rFonts w:cs="Calibri" w:cstheme="minorHAnsi"/>
          <w:b/>
          <w:bCs/>
        </w:rPr>
        <w:t xml:space="preserve">                                                         </w:t>
      </w:r>
      <w:r>
        <w:rPr>
          <w:rFonts w:cs="Calibri" w:cstheme="minorHAnsi"/>
        </w:rPr>
        <w:tab/>
        <w:tab/>
        <w:tab/>
        <w:t xml:space="preserve">                                         ……….., den .... (Datum)</w:t>
      </w:r>
    </w:p>
    <w:p>
      <w:pPr>
        <w:pStyle w:val="Normal"/>
        <w:widowControl w:val="false"/>
        <w:spacing w:lineRule="atLeast" w:line="2" w:before="0" w:after="0"/>
        <w:rPr>
          <w:rFonts w:ascii="Calibri" w:hAnsi="Calibri" w:cs="Calibri" w:asciiTheme="minorHAnsi" w:cstheme="minorHAnsi" w:hAnsiTheme="minorHAnsi"/>
        </w:rPr>
      </w:pPr>
      <w:r>
        <w:rPr>
          <w:rFonts w:cs="Calibri" w:cstheme="minorHAnsi"/>
        </w:rPr>
      </w:r>
    </w:p>
    <w:p>
      <w:pPr>
        <w:pStyle w:val="Normal"/>
        <w:widowControl w:val="false"/>
        <w:spacing w:lineRule="atLeast" w:line="2" w:before="0" w:after="0"/>
        <w:rPr>
          <w:rFonts w:ascii="Calibri" w:hAnsi="Calibri" w:cs="Calibri" w:asciiTheme="minorHAnsi" w:cstheme="minorHAnsi" w:hAnsiTheme="minorHAnsi"/>
        </w:rPr>
      </w:pPr>
      <w:r>
        <w:rPr>
          <w:rFonts w:cs="Calibri" w:cstheme="minorHAnsi"/>
        </w:rPr>
        <w:tab/>
      </w:r>
    </w:p>
    <w:p>
      <w:pPr>
        <w:pStyle w:val="Normal"/>
        <w:widowControl w:val="false"/>
        <w:tabs>
          <w:tab w:val="clear" w:pos="708"/>
          <w:tab w:val="left" w:pos="1701" w:leader="none"/>
          <w:tab w:val="left" w:pos="3402" w:leader="none"/>
          <w:tab w:val="left" w:pos="3905" w:leader="none"/>
        </w:tabs>
        <w:spacing w:lineRule="atLeast" w:line="330" w:before="0" w:after="0"/>
        <w:ind w:left="1701" w:hanging="0"/>
        <w:rPr>
          <w:rFonts w:ascii="Calibri" w:hAnsi="Calibri" w:cs="Calibri" w:asciiTheme="minorHAnsi" w:cstheme="minorHAnsi" w:hAnsiTheme="minorHAnsi"/>
        </w:rPr>
      </w:pPr>
      <w:r>
        <w:rPr>
          <w:rFonts w:cs="Calibri" w:cstheme="minorHAnsi"/>
        </w:rPr>
      </w:r>
    </w:p>
    <w:p>
      <w:pPr>
        <w:pStyle w:val="Normal"/>
        <w:widowControl w:val="false"/>
        <w:tabs>
          <w:tab w:val="clear" w:pos="708"/>
          <w:tab w:val="left" w:pos="1701" w:leader="none"/>
          <w:tab w:val="left" w:pos="3402" w:leader="none"/>
          <w:tab w:val="left" w:pos="3905" w:leader="none"/>
        </w:tabs>
        <w:spacing w:lineRule="atLeast" w:line="330" w:before="0" w:after="0"/>
        <w:ind w:left="1701" w:hanging="0"/>
        <w:rPr>
          <w:rFonts w:ascii="Calibri" w:hAnsi="Calibri" w:cs="Calibri" w:asciiTheme="minorHAnsi" w:cstheme="minorHAnsi" w:hAnsiTheme="minorHAnsi"/>
        </w:rPr>
      </w:pPr>
      <w:r>
        <w:rPr>
          <w:rFonts w:cs="Calibri" w:cstheme="minorHAnsi"/>
        </w:rPr>
      </w:r>
    </w:p>
    <w:p>
      <w:pPr>
        <w:pStyle w:val="Normal"/>
        <w:widowControl w:val="false"/>
        <w:tabs>
          <w:tab w:val="clear" w:pos="708"/>
          <w:tab w:val="left" w:pos="1701" w:leader="none"/>
          <w:tab w:val="left" w:pos="3402" w:leader="none"/>
          <w:tab w:val="left" w:pos="5877" w:leader="none"/>
          <w:tab w:val="left" w:pos="6109" w:leader="none"/>
        </w:tabs>
        <w:spacing w:lineRule="atLeast" w:line="330" w:before="0" w:after="0"/>
        <w:rPr>
          <w:rFonts w:ascii="Calibri" w:hAnsi="Calibri" w:cs="Calibri" w:asciiTheme="minorHAnsi" w:cstheme="minorHAnsi" w:hAnsiTheme="minorHAnsi"/>
        </w:rPr>
      </w:pPr>
      <w:r>
        <w:rPr>
          <w:rFonts w:cs="Calibri" w:cstheme="minorHAnsi"/>
          <w:b/>
          <w:bCs/>
          <w:spacing w:val="62"/>
        </w:rPr>
        <w:t>Kla</w:t>
        <w:softHyphen/>
        <w:t>ge</w:t>
      </w:r>
    </w:p>
    <w:p>
      <w:pPr>
        <w:pStyle w:val="Normal"/>
        <w:widowControl w:val="false"/>
        <w:tabs>
          <w:tab w:val="clear" w:pos="708"/>
          <w:tab w:val="left" w:pos="1701" w:leader="none"/>
          <w:tab w:val="left" w:pos="3402" w:leader="none"/>
          <w:tab w:val="left" w:pos="5877" w:leader="none"/>
          <w:tab w:val="left" w:pos="6109" w:leader="none"/>
        </w:tabs>
        <w:spacing w:lineRule="atLeast" w:line="330" w:before="0" w:after="0"/>
        <w:ind w:left="1701" w:hanging="0"/>
        <w:rPr>
          <w:rFonts w:ascii="Calibri" w:hAnsi="Calibri" w:cs="Calibri" w:asciiTheme="minorHAnsi" w:cstheme="minorHAnsi" w:hAnsiTheme="minorHAnsi"/>
        </w:rPr>
      </w:pPr>
      <w:r>
        <w:rPr>
          <w:rFonts w:cs="Calibri" w:cstheme="minorHAnsi"/>
        </w:rPr>
      </w:r>
    </w:p>
    <w:p>
      <w:pPr>
        <w:pStyle w:val="Normal"/>
        <w:widowControl w:val="false"/>
        <w:tabs>
          <w:tab w:val="clear" w:pos="708"/>
          <w:tab w:val="left" w:pos="1701" w:leader="none"/>
          <w:tab w:val="left" w:pos="3402" w:leader="none"/>
          <w:tab w:val="left" w:pos="5877" w:leader="none"/>
          <w:tab w:val="left" w:pos="6109" w:leader="none"/>
        </w:tabs>
        <w:spacing w:lineRule="atLeast" w:line="330" w:before="0" w:after="0"/>
        <w:ind w:left="1701" w:hanging="0"/>
        <w:rPr>
          <w:rFonts w:ascii="Calibri" w:hAnsi="Calibri" w:cs="Calibri" w:asciiTheme="minorHAnsi" w:cstheme="minorHAnsi" w:hAnsiTheme="minorHAnsi"/>
        </w:rPr>
      </w:pPr>
      <w:r>
        <w:rPr>
          <w:rFonts w:cs="Calibri" w:cstheme="minorHAnsi"/>
        </w:rPr>
      </w:r>
    </w:p>
    <w:p>
      <w:pPr>
        <w:pStyle w:val="Normal"/>
        <w:widowControl w:val="false"/>
        <w:tabs>
          <w:tab w:val="clear" w:pos="708"/>
          <w:tab w:val="left" w:pos="2597" w:leader="none"/>
          <w:tab w:val="left" w:pos="3402" w:leader="none"/>
        </w:tabs>
        <w:spacing w:lineRule="atLeast" w:line="330" w:before="0" w:after="0"/>
        <w:rPr>
          <w:rFonts w:ascii="Calibri" w:hAnsi="Calibri" w:cs="Calibri" w:asciiTheme="minorHAnsi" w:cstheme="minorHAnsi" w:hAnsiTheme="minorHAnsi"/>
        </w:rPr>
      </w:pPr>
      <w:r>
        <w:rPr>
          <w:rFonts w:cs="Calibri" w:cstheme="minorHAnsi"/>
        </w:rPr>
        <w:t>des ....., geb. am ...,</w:t>
      </w:r>
    </w:p>
    <w:p>
      <w:pPr>
        <w:pStyle w:val="Normal"/>
        <w:widowControl w:val="false"/>
        <w:tabs>
          <w:tab w:val="clear" w:pos="708"/>
          <w:tab w:val="left" w:pos="2341" w:leader="none"/>
          <w:tab w:val="left" w:pos="3402" w:leader="none"/>
        </w:tabs>
        <w:spacing w:lineRule="atLeast" w:line="330" w:before="0" w:after="0"/>
        <w:rPr>
          <w:rFonts w:ascii="Calibri" w:hAnsi="Calibri" w:cs="Calibri" w:asciiTheme="minorHAnsi" w:cstheme="minorHAnsi" w:hAnsiTheme="minorHAnsi"/>
        </w:rPr>
      </w:pPr>
      <w:r>
        <w:rPr>
          <w:rFonts w:cs="Calibri" w:cstheme="minorHAnsi"/>
        </w:rPr>
        <w:t>wohn</w:t>
        <w:softHyphen/>
        <w:t>haft:.....</w:t>
      </w:r>
    </w:p>
    <w:p>
      <w:pPr>
        <w:pStyle w:val="Normal"/>
        <w:widowControl w:val="false"/>
        <w:tabs>
          <w:tab w:val="clear" w:pos="708"/>
          <w:tab w:val="left" w:pos="3402" w:leader="none"/>
          <w:tab w:val="left" w:pos="10405" w:leader="none"/>
        </w:tabs>
        <w:spacing w:lineRule="atLeast" w:line="330" w:before="0" w:after="0"/>
        <w:ind w:left="1701" w:hanging="0"/>
        <w:rPr>
          <w:rFonts w:ascii="Calibri" w:hAnsi="Calibri" w:cs="Calibri" w:asciiTheme="minorHAnsi" w:cstheme="minorHAnsi" w:hAnsiTheme="minorHAnsi"/>
        </w:rPr>
      </w:pPr>
      <w:r>
        <w:rPr>
          <w:rFonts w:cs="Calibri" w:cstheme="minorHAnsi"/>
        </w:rPr>
      </w:r>
    </w:p>
    <w:p>
      <w:pPr>
        <w:pStyle w:val="Normal"/>
        <w:widowControl w:val="false"/>
        <w:tabs>
          <w:tab w:val="clear" w:pos="708"/>
          <w:tab w:val="left" w:pos="3402" w:leader="none"/>
          <w:tab w:val="left" w:pos="10405" w:leader="none"/>
        </w:tabs>
        <w:spacing w:lineRule="atLeast" w:line="330" w:before="0" w:after="0"/>
        <w:ind w:left="1701" w:hanging="0"/>
        <w:jc w:val="right"/>
        <w:rPr>
          <w:rFonts w:ascii="Calibri" w:hAnsi="Calibri" w:cs="Calibri" w:asciiTheme="minorHAnsi" w:cstheme="minorHAnsi" w:hAnsiTheme="minorHAnsi"/>
        </w:rPr>
      </w:pPr>
      <w:r>
        <w:rPr>
          <w:rFonts w:cs="Calibri" w:cstheme="minorHAnsi"/>
        </w:rPr>
        <w:t xml:space="preserve">                                                                             </w:t>
      </w:r>
      <w:r>
        <w:rPr>
          <w:rFonts w:cs="Calibri" w:cstheme="minorHAnsi"/>
        </w:rPr>
        <w:t>- Klä</w:t>
        <w:softHyphen/>
        <w:t>ger -</w:t>
      </w:r>
    </w:p>
    <w:p>
      <w:pPr>
        <w:pStyle w:val="Normal"/>
        <w:widowControl w:val="false"/>
        <w:tabs>
          <w:tab w:val="clear" w:pos="708"/>
          <w:tab w:val="left" w:pos="3402" w:leader="none"/>
          <w:tab w:val="left" w:pos="10405" w:leader="none"/>
        </w:tabs>
        <w:spacing w:lineRule="atLeast" w:line="330" w:before="0" w:after="0"/>
        <w:ind w:left="1701" w:hanging="0"/>
        <w:rPr>
          <w:rFonts w:ascii="Calibri" w:hAnsi="Calibri" w:cs="Calibri" w:asciiTheme="minorHAnsi" w:cstheme="minorHAnsi" w:hAnsiTheme="minorHAnsi"/>
        </w:rPr>
      </w:pPr>
      <w:r>
        <w:rPr>
          <w:rFonts w:cs="Calibri" w:cstheme="minorHAnsi"/>
        </w:rPr>
      </w:r>
    </w:p>
    <w:p>
      <w:pPr>
        <w:pStyle w:val="Normal"/>
        <w:widowControl w:val="false"/>
        <w:tabs>
          <w:tab w:val="clear" w:pos="708"/>
          <w:tab w:val="left" w:pos="3402" w:leader="none"/>
          <w:tab w:val="right" w:pos="8804" w:leader="none"/>
          <w:tab w:val="left" w:pos="8869" w:leader="none"/>
        </w:tabs>
        <w:spacing w:lineRule="atLeast" w:line="330" w:before="0" w:after="0"/>
        <w:rPr>
          <w:rFonts w:ascii="Calibri" w:hAnsi="Calibri" w:cs="Calibri" w:asciiTheme="minorHAnsi" w:cstheme="minorHAnsi" w:hAnsiTheme="minorHAnsi"/>
        </w:rPr>
      </w:pPr>
      <w:r>
        <w:rPr>
          <w:rFonts w:cs="Calibri" w:cstheme="minorHAnsi"/>
        </w:rPr>
        <w:t>ge</w:t>
        <w:softHyphen/>
        <w:t>gen</w:t>
      </w:r>
    </w:p>
    <w:p>
      <w:pPr>
        <w:pStyle w:val="Normal"/>
        <w:widowControl w:val="false"/>
        <w:tabs>
          <w:tab w:val="clear" w:pos="708"/>
          <w:tab w:val="left" w:pos="3402" w:leader="none"/>
          <w:tab w:val="right" w:pos="8804" w:leader="none"/>
          <w:tab w:val="left" w:pos="8869" w:leader="none"/>
        </w:tabs>
        <w:spacing w:lineRule="atLeast" w:line="330" w:before="0" w:after="0"/>
        <w:ind w:left="1701" w:hanging="0"/>
        <w:rPr>
          <w:rFonts w:ascii="Calibri" w:hAnsi="Calibri" w:cs="Calibri" w:asciiTheme="minorHAnsi" w:cstheme="minorHAnsi" w:hAnsiTheme="minorHAnsi"/>
        </w:rPr>
      </w:pPr>
      <w:r>
        <w:rPr>
          <w:rFonts w:cs="Calibri" w:cstheme="minorHAnsi"/>
        </w:rPr>
      </w:r>
    </w:p>
    <w:p>
      <w:pPr>
        <w:pStyle w:val="Normal"/>
        <w:widowControl w:val="false"/>
        <w:tabs>
          <w:tab w:val="clear" w:pos="708"/>
          <w:tab w:val="left" w:pos="3402" w:leader="none"/>
          <w:tab w:val="left" w:pos="10405" w:leader="none"/>
        </w:tabs>
        <w:spacing w:lineRule="atLeast" w:line="330" w:before="0" w:after="0"/>
        <w:rPr>
          <w:rFonts w:ascii="Calibri" w:hAnsi="Calibri" w:cs="Calibri" w:asciiTheme="minorHAnsi" w:cstheme="minorHAnsi" w:hAnsiTheme="minorHAnsi"/>
        </w:rPr>
      </w:pPr>
      <w:r>
        <w:rPr>
          <w:rFonts w:cs="Calibri" w:cstheme="minorHAnsi"/>
        </w:rPr>
        <w:t>Bun</w:t>
        <w:softHyphen/>
        <w:t>des</w:t>
        <w:softHyphen/>
        <w:t>re</w:t>
        <w:softHyphen/>
        <w:t>pub</w:t>
        <w:softHyphen/>
        <w:t>lik Deutsch</w:t>
        <w:softHyphen/>
        <w:t>land, ver</w:t>
        <w:softHyphen/>
        <w:t>tre</w:t>
        <w:softHyphen/>
        <w:t>ten durch den Bun</w:t>
        <w:softHyphen/>
        <w:t>des</w:t>
        <w:softHyphen/>
        <w:t>mi</w:t>
        <w:softHyphen/>
        <w:t>nis</w:t>
        <w:softHyphen/>
        <w:t>ter des In</w:t>
        <w:softHyphen/>
        <w:t>nern, die</w:t>
        <w:softHyphen/>
        <w:t>ser ver</w:t>
        <w:softHyphen/>
        <w:t>tre</w:t>
        <w:softHyphen/>
        <w:t>ten durch den Lei</w:t>
        <w:softHyphen/>
        <w:t>ter des Bun</w:t>
        <w:softHyphen/>
        <w:t>des</w:t>
        <w:softHyphen/>
        <w:t>am</w:t>
        <w:softHyphen/>
        <w:t>tes für Mig</w:t>
        <w:softHyphen/>
        <w:t>ra</w:t>
        <w:softHyphen/>
        <w:t>ti</w:t>
        <w:softHyphen/>
        <w:t>on und Flücht</w:t>
        <w:softHyphen/>
        <w:t>lin</w:t>
        <w:softHyphen/>
        <w:t>ge, Fran</w:t>
        <w:softHyphen/>
        <w:t>kenstr. 210, 90461 Nürn</w:t>
        <w:softHyphen/>
        <w:t>berg,</w:t>
      </w:r>
    </w:p>
    <w:p>
      <w:pPr>
        <w:pStyle w:val="Normal"/>
        <w:widowControl w:val="false"/>
        <w:tabs>
          <w:tab w:val="clear" w:pos="708"/>
          <w:tab w:val="left" w:pos="3402" w:leader="none"/>
          <w:tab w:val="left" w:pos="10405" w:leader="none"/>
        </w:tabs>
        <w:spacing w:lineRule="atLeast" w:line="330" w:before="0" w:after="0"/>
        <w:ind w:left="1701" w:hanging="0"/>
        <w:rPr>
          <w:rFonts w:ascii="Calibri" w:hAnsi="Calibri" w:cs="Calibri" w:asciiTheme="minorHAnsi" w:cstheme="minorHAnsi" w:hAnsiTheme="minorHAnsi"/>
        </w:rPr>
      </w:pPr>
      <w:r>
        <w:rPr>
          <w:rFonts w:cs="Calibri" w:cstheme="minorHAnsi"/>
        </w:rPr>
        <w:t xml:space="preserve">                                                                                                        </w:t>
      </w:r>
    </w:p>
    <w:p>
      <w:pPr>
        <w:pStyle w:val="Normal"/>
        <w:widowControl w:val="false"/>
        <w:tabs>
          <w:tab w:val="clear" w:pos="708"/>
          <w:tab w:val="left" w:pos="3402" w:leader="none"/>
          <w:tab w:val="left" w:pos="10405" w:leader="none"/>
        </w:tabs>
        <w:spacing w:lineRule="atLeast" w:line="330" w:before="0" w:after="0"/>
        <w:ind w:left="1701" w:hanging="0"/>
        <w:jc w:val="right"/>
        <w:rPr>
          <w:rFonts w:ascii="Calibri" w:hAnsi="Calibri" w:cs="Calibri" w:asciiTheme="minorHAnsi" w:cstheme="minorHAnsi" w:hAnsiTheme="minorHAnsi"/>
        </w:rPr>
      </w:pPr>
      <w:r>
        <w:rPr>
          <w:rFonts w:cs="Calibri" w:cstheme="minorHAnsi"/>
        </w:rPr>
        <w:t xml:space="preserve">                                                                                                      </w:t>
      </w:r>
      <w:r>
        <w:rPr>
          <w:rFonts w:cs="Calibri" w:cstheme="minorHAnsi"/>
        </w:rPr>
        <w:t>- Be</w:t>
        <w:softHyphen/>
        <w:t>klag</w:t>
        <w:softHyphen/>
        <w:t xml:space="preserve">te - </w:t>
      </w:r>
    </w:p>
    <w:p>
      <w:pPr>
        <w:pStyle w:val="Normal"/>
        <w:widowControl w:val="false"/>
        <w:tabs>
          <w:tab w:val="clear" w:pos="708"/>
          <w:tab w:val="left" w:pos="3402" w:leader="none"/>
          <w:tab w:val="left" w:pos="10405" w:leader="none"/>
        </w:tabs>
        <w:spacing w:lineRule="atLeast" w:line="330" w:before="0" w:after="0"/>
        <w:rPr>
          <w:rFonts w:ascii="Calibri" w:hAnsi="Calibri" w:cs="Calibri" w:asciiTheme="minorHAnsi" w:cstheme="minorHAnsi" w:hAnsiTheme="minorHAnsi"/>
        </w:rPr>
      </w:pPr>
      <w:r>
        <w:rPr>
          <w:rFonts w:cs="Calibri" w:cstheme="minorHAnsi"/>
        </w:rPr>
        <w:t>we</w:t>
        <w:softHyphen/>
        <w:t>gen Asylrecht</w:t>
      </w:r>
    </w:p>
    <w:p>
      <w:pPr>
        <w:pStyle w:val="Normal"/>
        <w:widowControl w:val="false"/>
        <w:tabs>
          <w:tab w:val="clear" w:pos="708"/>
          <w:tab w:val="left" w:pos="3402" w:leader="none"/>
          <w:tab w:val="left" w:pos="10405" w:leader="none"/>
        </w:tabs>
        <w:spacing w:lineRule="atLeast" w:line="330" w:before="0" w:after="0"/>
        <w:ind w:left="1701" w:hanging="0"/>
        <w:rPr>
          <w:rFonts w:ascii="Calibri" w:hAnsi="Calibri" w:cs="Calibri" w:asciiTheme="minorHAnsi" w:cstheme="minorHAnsi" w:hAnsiTheme="minorHAnsi"/>
        </w:rPr>
      </w:pPr>
      <w:r>
        <w:rPr>
          <w:rFonts w:cs="Calibri" w:cstheme="minorHAnsi"/>
        </w:rPr>
      </w:r>
    </w:p>
    <w:p>
      <w:pPr>
        <w:pStyle w:val="Normal"/>
        <w:widowControl w:val="false"/>
        <w:tabs>
          <w:tab w:val="clear" w:pos="708"/>
          <w:tab w:val="left" w:pos="3402" w:leader="none"/>
          <w:tab w:val="left" w:pos="10405" w:leader="none"/>
        </w:tabs>
        <w:spacing w:lineRule="atLeast" w:line="330" w:before="0" w:after="0"/>
        <w:ind w:left="1701" w:hanging="0"/>
        <w:rPr>
          <w:rFonts w:ascii="Calibri" w:hAnsi="Calibri" w:cs="Calibri" w:asciiTheme="minorHAnsi" w:cstheme="minorHAnsi" w:hAnsiTheme="minorHAnsi"/>
        </w:rPr>
      </w:pPr>
      <w:r>
        <w:rPr>
          <w:rFonts w:cs="Calibri" w:cstheme="minorHAnsi"/>
        </w:rPr>
      </w:r>
    </w:p>
    <w:p>
      <w:pPr>
        <w:pStyle w:val="Normal"/>
        <w:widowControl w:val="false"/>
        <w:tabs>
          <w:tab w:val="clear" w:pos="708"/>
          <w:tab w:val="left" w:pos="2853" w:leader="none"/>
          <w:tab w:val="left" w:pos="3402" w:leader="none"/>
          <w:tab w:val="left" w:pos="10405" w:leader="none"/>
        </w:tabs>
        <w:spacing w:lineRule="atLeast" w:line="330" w:before="0" w:after="0"/>
        <w:rPr>
          <w:rFonts w:ascii="Calibri" w:hAnsi="Calibri" w:cs="Calibri" w:asciiTheme="minorHAnsi" w:cstheme="minorHAnsi" w:hAnsiTheme="minorHAnsi"/>
        </w:rPr>
      </w:pPr>
      <w:r>
        <w:rPr>
          <w:rFonts w:cs="Calibri" w:cstheme="minorHAnsi"/>
        </w:rPr>
        <w:t>Ich er</w:t>
        <w:softHyphen/>
        <w:t>he</w:t>
        <w:softHyphen/>
        <w:t xml:space="preserve">be </w:t>
      </w:r>
    </w:p>
    <w:p>
      <w:pPr>
        <w:pStyle w:val="Normal"/>
        <w:widowControl w:val="false"/>
        <w:tabs>
          <w:tab w:val="clear" w:pos="708"/>
          <w:tab w:val="left" w:pos="2853" w:leader="none"/>
          <w:tab w:val="left" w:pos="3402" w:leader="none"/>
          <w:tab w:val="left" w:pos="10405" w:leader="none"/>
        </w:tabs>
        <w:spacing w:lineRule="atLeast" w:line="330" w:before="0" w:after="0"/>
        <w:ind w:left="1701" w:hanging="0"/>
        <w:rPr>
          <w:rFonts w:ascii="Calibri" w:hAnsi="Calibri" w:cs="Calibri" w:asciiTheme="minorHAnsi" w:cstheme="minorHAnsi" w:hAnsiTheme="minorHAnsi"/>
        </w:rPr>
      </w:pPr>
      <w:r>
        <w:rPr>
          <w:rFonts w:cs="Calibri" w:cstheme="minorHAnsi"/>
        </w:rPr>
      </w:r>
    </w:p>
    <w:p>
      <w:pPr>
        <w:pStyle w:val="Normal"/>
        <w:widowControl w:val="false"/>
        <w:tabs>
          <w:tab w:val="clear" w:pos="708"/>
          <w:tab w:val="left" w:pos="2853" w:leader="none"/>
          <w:tab w:val="left" w:pos="3402" w:leader="none"/>
          <w:tab w:val="left" w:pos="10405" w:leader="none"/>
        </w:tabs>
        <w:spacing w:lineRule="atLeast" w:line="330" w:before="0" w:after="0"/>
        <w:ind w:left="1701" w:hanging="0"/>
        <w:jc w:val="center"/>
        <w:rPr>
          <w:rFonts w:ascii="Calibri" w:hAnsi="Calibri" w:cs="Calibri" w:asciiTheme="minorHAnsi" w:cstheme="minorHAnsi" w:hAnsiTheme="minorHAnsi"/>
          <w:b/>
          <w:b/>
        </w:rPr>
      </w:pPr>
      <w:r>
        <w:rPr>
          <w:rFonts w:cs="Calibri" w:cstheme="minorHAnsi"/>
          <w:b/>
        </w:rPr>
        <w:t>K l a</w:t>
        <w:softHyphen/>
        <w:t xml:space="preserve"> g e</w:t>
      </w:r>
    </w:p>
    <w:p>
      <w:pPr>
        <w:pStyle w:val="Normal"/>
        <w:widowControl w:val="false"/>
        <w:tabs>
          <w:tab w:val="clear" w:pos="708"/>
          <w:tab w:val="left" w:pos="2853" w:leader="none"/>
          <w:tab w:val="left" w:pos="3402" w:leader="none"/>
          <w:tab w:val="left" w:pos="10405" w:leader="none"/>
        </w:tabs>
        <w:spacing w:lineRule="atLeast" w:line="330" w:before="0" w:after="0"/>
        <w:ind w:left="1701" w:hanging="0"/>
        <w:rPr>
          <w:rFonts w:ascii="Calibri" w:hAnsi="Calibri" w:cs="Calibri" w:asciiTheme="minorHAnsi" w:cstheme="minorHAnsi" w:hAnsiTheme="minorHAnsi"/>
        </w:rPr>
      </w:pPr>
      <w:r>
        <w:rPr>
          <w:rFonts w:cs="Calibri" w:cstheme="minorHAnsi"/>
        </w:rPr>
      </w:r>
    </w:p>
    <w:p>
      <w:pPr>
        <w:pStyle w:val="Normal"/>
        <w:widowControl w:val="false"/>
        <w:tabs>
          <w:tab w:val="clear" w:pos="708"/>
          <w:tab w:val="left" w:pos="2853" w:leader="none"/>
          <w:tab w:val="left" w:pos="3402" w:leader="none"/>
          <w:tab w:val="left" w:pos="10405" w:leader="none"/>
        </w:tabs>
        <w:spacing w:lineRule="atLeast" w:line="330" w:before="0" w:after="0"/>
        <w:rPr>
          <w:rFonts w:ascii="Calibri" w:hAnsi="Calibri" w:cs="Calibri" w:asciiTheme="minorHAnsi" w:cstheme="minorHAnsi" w:hAnsiTheme="minorHAnsi"/>
        </w:rPr>
      </w:pPr>
      <w:r>
        <w:rPr>
          <w:rFonts w:cs="Calibri" w:cstheme="minorHAnsi"/>
        </w:rPr>
        <w:t>und be</w:t>
        <w:softHyphen/>
        <w:t>an</w:t>
        <w:softHyphen/>
        <w:t>tra</w:t>
        <w:softHyphen/>
        <w:t xml:space="preserve">ge </w:t>
      </w:r>
    </w:p>
    <w:p>
      <w:pPr>
        <w:pStyle w:val="Normal"/>
        <w:widowControl w:val="false"/>
        <w:tabs>
          <w:tab w:val="clear" w:pos="708"/>
          <w:tab w:val="left" w:pos="2853" w:leader="none"/>
          <w:tab w:val="left" w:pos="3402" w:leader="none"/>
          <w:tab w:val="left" w:pos="10405" w:leader="none"/>
        </w:tabs>
        <w:spacing w:lineRule="atLeast" w:line="330" w:before="0" w:after="0"/>
        <w:rPr>
          <w:rFonts w:ascii="Calibri" w:hAnsi="Calibri" w:cs="Calibri" w:asciiTheme="minorHAnsi" w:cstheme="minorHAnsi" w:hAnsiTheme="minorHAnsi"/>
        </w:rPr>
      </w:pPr>
      <w:r>
        <w:rPr>
          <w:rFonts w:cs="Calibri" w:cstheme="minorHAnsi"/>
        </w:rPr>
      </w:r>
    </w:p>
    <w:p>
      <w:pPr>
        <w:pStyle w:val="Normal"/>
        <w:widowControl w:val="false"/>
        <w:tabs>
          <w:tab w:val="clear" w:pos="708"/>
          <w:tab w:val="left" w:pos="2853" w:leader="none"/>
          <w:tab w:val="left" w:pos="3402" w:leader="none"/>
          <w:tab w:val="left" w:pos="10405" w:leader="none"/>
        </w:tabs>
        <w:spacing w:lineRule="atLeast" w:line="330" w:before="0" w:after="0"/>
        <w:rPr>
          <w:rFonts w:ascii="Calibri" w:hAnsi="Calibri" w:cs="Calibri" w:asciiTheme="minorHAnsi" w:cstheme="minorHAnsi" w:hAnsiTheme="minorHAnsi"/>
        </w:rPr>
      </w:pPr>
      <w:r>
        <w:rPr>
          <w:rFonts w:cs="Calibri" w:cstheme="minorHAnsi"/>
        </w:rPr>
      </w:r>
    </w:p>
    <w:p>
      <w:pPr>
        <w:pStyle w:val="Normal"/>
        <w:widowControl w:val="false"/>
        <w:tabs>
          <w:tab w:val="clear" w:pos="708"/>
          <w:tab w:val="left" w:pos="2853" w:leader="none"/>
          <w:tab w:val="left" w:pos="3402" w:leader="none"/>
          <w:tab w:val="left" w:pos="10405" w:leader="none"/>
        </w:tabs>
        <w:spacing w:lineRule="atLeast" w:line="330" w:before="0" w:after="0"/>
        <w:jc w:val="center"/>
        <w:rPr>
          <w:rFonts w:ascii="Calibri" w:hAnsi="Calibri" w:cs="Calibri" w:asciiTheme="minorHAnsi" w:cstheme="minorHAnsi" w:hAnsiTheme="minorHAnsi"/>
        </w:rPr>
      </w:pPr>
      <w:r>
        <w:rPr>
          <w:rFonts w:cs="Calibri" w:cstheme="minorHAnsi"/>
        </w:rPr>
        <w:t>den Bescheid der Beklagten vom xx.yy.zz. aufzuheben.</w:t>
      </w:r>
    </w:p>
    <w:p>
      <w:pPr>
        <w:pStyle w:val="Normal"/>
        <w:widowControl w:val="false"/>
        <w:tabs>
          <w:tab w:val="clear" w:pos="708"/>
          <w:tab w:val="left" w:pos="2853" w:leader="none"/>
          <w:tab w:val="left" w:pos="3402" w:leader="none"/>
          <w:tab w:val="left" w:pos="10405" w:leader="none"/>
        </w:tabs>
        <w:spacing w:lineRule="atLeast" w:line="330" w:before="0" w:after="0"/>
        <w:rPr>
          <w:rFonts w:ascii="Calibri" w:hAnsi="Calibri" w:cs="Calibri" w:asciiTheme="minorHAnsi" w:cstheme="minorHAnsi" w:hAnsiTheme="minorHAnsi"/>
        </w:rPr>
      </w:pPr>
      <w:r>
        <w:rPr>
          <w:rFonts w:cs="Calibri" w:cstheme="minorHAnsi"/>
        </w:rPr>
      </w:r>
    </w:p>
    <w:p>
      <w:pPr>
        <w:pStyle w:val="Normal"/>
        <w:widowControl w:val="false"/>
        <w:tabs>
          <w:tab w:val="clear" w:pos="708"/>
          <w:tab w:val="left" w:pos="2853" w:leader="none"/>
          <w:tab w:val="left" w:pos="3402" w:leader="none"/>
          <w:tab w:val="left" w:pos="10405" w:leader="none"/>
        </w:tabs>
        <w:spacing w:lineRule="atLeast" w:line="330" w:before="0" w:after="0"/>
        <w:rPr>
          <w:rFonts w:ascii="Calibri" w:hAnsi="Calibri" w:cs="Calibri" w:asciiTheme="minorHAnsi" w:cstheme="minorHAnsi" w:hAnsiTheme="minorHAnsi"/>
        </w:rPr>
      </w:pPr>
      <w:r>
        <w:rPr>
          <w:rFonts w:cs="Calibri" w:cstheme="minorHAnsi"/>
        </w:rPr>
      </w:r>
    </w:p>
    <w:p>
      <w:pPr>
        <w:pStyle w:val="Normal"/>
        <w:widowControl w:val="false"/>
        <w:tabs>
          <w:tab w:val="clear" w:pos="708"/>
          <w:tab w:val="left" w:pos="2853" w:leader="none"/>
          <w:tab w:val="left" w:pos="3402" w:leader="none"/>
          <w:tab w:val="left" w:pos="10405" w:leader="none"/>
        </w:tabs>
        <w:spacing w:lineRule="atLeast" w:line="330" w:before="0" w:after="0"/>
        <w:rPr>
          <w:rFonts w:ascii="Calibri" w:hAnsi="Calibri" w:cs="Calibri" w:asciiTheme="minorHAnsi" w:cstheme="minorHAnsi" w:hAnsiTheme="minorHAnsi"/>
        </w:rPr>
      </w:pPr>
      <w:r>
        <w:rPr>
          <w:rFonts w:cs="Calibri" w:cstheme="minorHAnsi"/>
        </w:rPr>
        <w:t xml:space="preserve">Eine Kopie des streitgegenständlichen Bescheids wird beigefügt </w:t>
      </w:r>
      <w:r>
        <w:rPr>
          <w:rFonts w:cs="Calibri" w:cstheme="minorHAnsi"/>
          <w:b/>
        </w:rPr>
        <w:t>(Anlage)</w:t>
      </w:r>
    </w:p>
    <w:p>
      <w:pPr>
        <w:pStyle w:val="Normal"/>
        <w:widowControl w:val="false"/>
        <w:tabs>
          <w:tab w:val="clear" w:pos="708"/>
          <w:tab w:val="left" w:pos="2853" w:leader="none"/>
          <w:tab w:val="left" w:pos="3402" w:leader="none"/>
          <w:tab w:val="left" w:pos="10405" w:leader="none"/>
        </w:tabs>
        <w:spacing w:lineRule="atLeast" w:line="330" w:before="0" w:after="0"/>
        <w:rPr>
          <w:rFonts w:ascii="Calibri" w:hAnsi="Calibri" w:cs="Calibri" w:asciiTheme="minorHAnsi" w:cstheme="minorHAnsi" w:hAnsiTheme="minorHAnsi"/>
        </w:rPr>
      </w:pPr>
      <w:r>
        <w:rPr>
          <w:rFonts w:cs="Calibri" w:cstheme="minorHAnsi"/>
        </w:rPr>
      </w:r>
    </w:p>
    <w:p>
      <w:pPr>
        <w:pStyle w:val="Normal"/>
        <w:widowControl w:val="false"/>
        <w:tabs>
          <w:tab w:val="clear" w:pos="708"/>
          <w:tab w:val="left" w:pos="2853" w:leader="none"/>
          <w:tab w:val="left" w:pos="3402" w:leader="none"/>
          <w:tab w:val="left" w:pos="10405" w:leader="none"/>
        </w:tabs>
        <w:spacing w:lineRule="atLeast" w:line="330" w:before="0" w:after="0"/>
        <w:rPr>
          <w:rFonts w:ascii="Calibri" w:hAnsi="Calibri" w:cs="Calibri" w:asciiTheme="minorHAnsi" w:cstheme="minorHAnsi" w:hAnsiTheme="minorHAnsi"/>
        </w:rPr>
      </w:pPr>
      <w:bookmarkStart w:id="0" w:name="_GoBack"/>
      <w:bookmarkEnd w:id="0"/>
      <w:r>
        <w:rPr>
          <w:rFonts w:cs="Calibri" w:cstheme="minorHAnsi"/>
          <w:b/>
        </w:rPr>
        <w:t>Begründung</w:t>
      </w:r>
      <w:r>
        <w:rPr>
          <w:rFonts w:cs="Calibri" w:cstheme="minorHAnsi"/>
        </w:rPr>
        <w:t xml:space="preserve">: </w:t>
      </w:r>
    </w:p>
    <w:p>
      <w:pPr>
        <w:pStyle w:val="Normal"/>
        <w:widowControl w:val="false"/>
        <w:tabs>
          <w:tab w:val="clear" w:pos="708"/>
          <w:tab w:val="left" w:pos="2853" w:leader="none"/>
          <w:tab w:val="left" w:pos="3402" w:leader="none"/>
          <w:tab w:val="left" w:pos="10405" w:leader="none"/>
        </w:tabs>
        <w:spacing w:lineRule="atLeast" w:line="330" w:before="0" w:after="0"/>
        <w:rPr>
          <w:rFonts w:ascii="Calibri" w:hAnsi="Calibri" w:cs="Calibri" w:asciiTheme="minorHAnsi" w:cstheme="minorHAnsi" w:hAnsiTheme="minorHAnsi"/>
        </w:rPr>
      </w:pPr>
      <w:r>
        <w:rPr>
          <w:rFonts w:cs="Calibri" w:cstheme="minorHAnsi"/>
        </w:rPr>
      </w:r>
    </w:p>
    <w:p>
      <w:pPr>
        <w:pStyle w:val="Normal"/>
        <w:widowControl w:val="false"/>
        <w:tabs>
          <w:tab w:val="clear" w:pos="708"/>
          <w:tab w:val="left" w:pos="2853" w:leader="none"/>
          <w:tab w:val="left" w:pos="3402" w:leader="none"/>
          <w:tab w:val="left" w:pos="10405" w:leader="none"/>
        </w:tabs>
        <w:spacing w:lineRule="atLeast" w:line="330" w:before="0" w:after="0"/>
        <w:rPr>
          <w:rFonts w:ascii="Calibri" w:hAnsi="Calibri" w:cs="Calibri" w:asciiTheme="minorHAnsi" w:cstheme="minorHAnsi" w:hAnsiTheme="minorHAnsi"/>
          <w:b/>
          <w:b/>
        </w:rPr>
      </w:pPr>
      <w:r>
        <w:rPr>
          <w:rFonts w:cs="Calibri" w:cstheme="minorHAnsi"/>
          <w:b/>
        </w:rPr>
        <w:t xml:space="preserve">I. </w:t>
      </w:r>
    </w:p>
    <w:p>
      <w:pPr>
        <w:pStyle w:val="Normal"/>
        <w:widowControl w:val="false"/>
        <w:tabs>
          <w:tab w:val="clear" w:pos="708"/>
          <w:tab w:val="left" w:pos="2853" w:leader="none"/>
          <w:tab w:val="left" w:pos="3402" w:leader="none"/>
          <w:tab w:val="left" w:pos="10405" w:leader="none"/>
        </w:tabs>
        <w:spacing w:lineRule="atLeast" w:line="330" w:before="0" w:after="0"/>
        <w:rPr>
          <w:rFonts w:ascii="Calibri" w:hAnsi="Calibri" w:cs="Calibri" w:asciiTheme="minorHAnsi" w:cstheme="minorHAnsi" w:hAnsiTheme="minorHAnsi"/>
          <w:b/>
          <w:b/>
        </w:rPr>
      </w:pPr>
      <w:r>
        <w:rPr>
          <w:rFonts w:cs="Calibri" w:cstheme="minorHAnsi"/>
          <w:b/>
        </w:rPr>
      </w:r>
    </w:p>
    <w:p>
      <w:pPr>
        <w:pStyle w:val="Normal"/>
        <w:widowControl w:val="false"/>
        <w:tabs>
          <w:tab w:val="clear" w:pos="708"/>
          <w:tab w:val="left" w:pos="2853" w:leader="none"/>
          <w:tab w:val="left" w:pos="3402" w:leader="none"/>
          <w:tab w:val="left" w:pos="10405" w:leader="none"/>
        </w:tabs>
        <w:spacing w:lineRule="atLeast" w:line="330" w:before="0" w:after="0"/>
        <w:rPr>
          <w:rFonts w:ascii="Calibri" w:hAnsi="Calibri" w:cs="Calibri" w:asciiTheme="minorHAnsi" w:cstheme="minorHAnsi" w:hAnsiTheme="minorHAnsi"/>
        </w:rPr>
      </w:pPr>
      <w:r>
        <w:rPr>
          <w:rFonts w:cs="Calibri" w:cstheme="minorHAnsi"/>
        </w:rPr>
        <w:t xml:space="preserve">Auf meinen Asylerstantrag vom xx.yy.zz. hin hat mir die Beklagte mit Bescheid vom xx.yy.zz. subsidiären Schutz zugesprochen und den Asylantrag im Übrigen abgelehnt. </w:t>
      </w:r>
    </w:p>
    <w:p>
      <w:pPr>
        <w:pStyle w:val="Normal"/>
        <w:widowControl w:val="false"/>
        <w:tabs>
          <w:tab w:val="clear" w:pos="708"/>
          <w:tab w:val="left" w:pos="2853" w:leader="none"/>
          <w:tab w:val="left" w:pos="3402" w:leader="none"/>
          <w:tab w:val="left" w:pos="10405" w:leader="none"/>
        </w:tabs>
        <w:spacing w:lineRule="atLeast" w:line="330" w:before="0" w:after="0"/>
        <w:rPr>
          <w:rFonts w:ascii="Calibri" w:hAnsi="Calibri" w:cs="Calibri" w:asciiTheme="minorHAnsi" w:cstheme="minorHAnsi" w:hAnsiTheme="minorHAnsi"/>
        </w:rPr>
      </w:pPr>
      <w:r>
        <w:rPr>
          <w:rFonts w:cs="Calibri" w:cstheme="minorHAnsi"/>
        </w:rPr>
        <w:t xml:space="preserve">Nach der Entscheidung des EuGH in der Rechtssache EZ gegen Bundesrepublik Deutschland (C-238/19) vom 19. November 2020 habe ich am xx.yy.zz. einen Asylfolgeantrag gestellt. </w:t>
      </w:r>
    </w:p>
    <w:p>
      <w:pPr>
        <w:pStyle w:val="Normal"/>
        <w:widowControl w:val="false"/>
        <w:tabs>
          <w:tab w:val="clear" w:pos="708"/>
          <w:tab w:val="left" w:pos="2853" w:leader="none"/>
          <w:tab w:val="left" w:pos="3402" w:leader="none"/>
          <w:tab w:val="left" w:pos="10405" w:leader="none"/>
        </w:tabs>
        <w:spacing w:lineRule="atLeast" w:line="330" w:before="0" w:after="0"/>
        <w:rPr>
          <w:rFonts w:ascii="Calibri" w:hAnsi="Calibri" w:cs="Calibri" w:asciiTheme="minorHAnsi" w:cstheme="minorHAnsi" w:hAnsiTheme="minorHAnsi"/>
        </w:rPr>
      </w:pPr>
      <w:r>
        <w:rPr>
          <w:rFonts w:cs="Calibri" w:cstheme="minorHAnsi"/>
        </w:rPr>
      </w:r>
    </w:p>
    <w:p>
      <w:pPr>
        <w:pStyle w:val="Normal"/>
        <w:widowControl w:val="false"/>
        <w:tabs>
          <w:tab w:val="clear" w:pos="708"/>
          <w:tab w:val="left" w:pos="2853" w:leader="none"/>
          <w:tab w:val="left" w:pos="3402" w:leader="none"/>
          <w:tab w:val="left" w:pos="10405" w:leader="none"/>
        </w:tabs>
        <w:spacing w:lineRule="atLeast" w:line="330" w:before="0" w:after="0"/>
        <w:rPr>
          <w:rFonts w:ascii="Calibri" w:hAnsi="Calibri" w:cs="Calibri" w:asciiTheme="minorHAnsi" w:cstheme="minorHAnsi" w:hAnsiTheme="minorHAnsi"/>
        </w:rPr>
      </w:pPr>
      <w:r>
        <w:rPr>
          <w:rFonts w:cs="Calibri" w:cstheme="minorHAnsi"/>
        </w:rPr>
        <w:t>Die Beklagte hat diesen Asylfolgeantrag mit dem streitgegenständlichen Bescheid mit der Begründung abgelehnt, durch besagtes Urteil des EuGH sei keine Änderung der Rechtslage i.S.d. § 51 Abs. 1 Nr. 1 VwVfG eingetreten.</w:t>
      </w:r>
    </w:p>
    <w:p>
      <w:pPr>
        <w:pStyle w:val="Normal"/>
        <w:widowControl w:val="false"/>
        <w:tabs>
          <w:tab w:val="clear" w:pos="708"/>
          <w:tab w:val="left" w:pos="2853" w:leader="none"/>
          <w:tab w:val="left" w:pos="3402" w:leader="none"/>
          <w:tab w:val="left" w:pos="10405" w:leader="none"/>
        </w:tabs>
        <w:spacing w:lineRule="atLeast" w:line="330" w:before="0" w:after="0"/>
        <w:rPr>
          <w:rFonts w:ascii="Calibri" w:hAnsi="Calibri" w:cs="Calibri" w:asciiTheme="minorHAnsi" w:cstheme="minorHAnsi" w:hAnsiTheme="minorHAnsi"/>
        </w:rPr>
      </w:pPr>
      <w:r>
        <w:rPr>
          <w:rFonts w:cs="Calibri" w:cstheme="minorHAnsi"/>
        </w:rPr>
      </w:r>
    </w:p>
    <w:p>
      <w:pPr>
        <w:pStyle w:val="Normal"/>
        <w:widowControl w:val="false"/>
        <w:tabs>
          <w:tab w:val="clear" w:pos="708"/>
          <w:tab w:val="left" w:pos="2853" w:leader="none"/>
          <w:tab w:val="left" w:pos="3402" w:leader="none"/>
          <w:tab w:val="left" w:pos="10405" w:leader="none"/>
        </w:tabs>
        <w:spacing w:lineRule="atLeast" w:line="330" w:before="0" w:after="0"/>
        <w:rPr>
          <w:rFonts w:ascii="Calibri" w:hAnsi="Calibri" w:cs="Calibri" w:asciiTheme="minorHAnsi" w:cstheme="minorHAnsi" w:hAnsiTheme="minorHAnsi"/>
        </w:rPr>
      </w:pPr>
      <w:r>
        <w:rPr>
          <w:rFonts w:cs="Calibri" w:cstheme="minorHAnsi"/>
        </w:rPr>
      </w:r>
    </w:p>
    <w:p>
      <w:pPr>
        <w:pStyle w:val="Normal"/>
        <w:widowControl w:val="false"/>
        <w:tabs>
          <w:tab w:val="clear" w:pos="708"/>
          <w:tab w:val="left" w:pos="2853" w:leader="none"/>
          <w:tab w:val="left" w:pos="3402" w:leader="none"/>
          <w:tab w:val="left" w:pos="10405" w:leader="none"/>
        </w:tabs>
        <w:spacing w:lineRule="atLeast" w:line="330" w:before="0" w:after="0"/>
        <w:rPr>
          <w:rFonts w:ascii="Calibri" w:hAnsi="Calibri" w:cs="Calibri" w:asciiTheme="minorHAnsi" w:cstheme="minorHAnsi" w:hAnsiTheme="minorHAnsi"/>
          <w:b/>
          <w:b/>
        </w:rPr>
      </w:pPr>
      <w:r>
        <w:rPr>
          <w:rFonts w:cs="Calibri" w:cstheme="minorHAnsi"/>
          <w:b/>
        </w:rPr>
        <w:t xml:space="preserve">II. </w:t>
      </w:r>
    </w:p>
    <w:p>
      <w:pPr>
        <w:pStyle w:val="Normal"/>
        <w:widowControl w:val="false"/>
        <w:tabs>
          <w:tab w:val="clear" w:pos="708"/>
          <w:tab w:val="left" w:pos="2853" w:leader="none"/>
          <w:tab w:val="left" w:pos="3402" w:leader="none"/>
          <w:tab w:val="left" w:pos="10405" w:leader="none"/>
        </w:tabs>
        <w:spacing w:lineRule="atLeast" w:line="330" w:before="0" w:after="0"/>
        <w:rPr>
          <w:rFonts w:ascii="Calibri" w:hAnsi="Calibri" w:cs="Calibri" w:asciiTheme="minorHAnsi" w:cstheme="minorHAnsi" w:hAnsiTheme="minorHAnsi"/>
          <w:b/>
          <w:b/>
        </w:rPr>
      </w:pPr>
      <w:r>
        <w:rPr>
          <w:rFonts w:cs="Calibri" w:cstheme="minorHAnsi"/>
          <w:b/>
        </w:rPr>
      </w:r>
    </w:p>
    <w:p>
      <w:pPr>
        <w:pStyle w:val="Normal"/>
        <w:widowControl w:val="false"/>
        <w:tabs>
          <w:tab w:val="clear" w:pos="708"/>
          <w:tab w:val="left" w:pos="2853" w:leader="none"/>
          <w:tab w:val="left" w:pos="3402" w:leader="none"/>
          <w:tab w:val="left" w:pos="10405" w:leader="none"/>
        </w:tabs>
        <w:spacing w:lineRule="atLeast" w:line="330" w:before="0" w:after="0"/>
        <w:rPr>
          <w:rFonts w:ascii="Calibri" w:hAnsi="Calibri" w:cs="Calibri" w:asciiTheme="minorHAnsi" w:cstheme="minorHAnsi" w:hAnsiTheme="minorHAnsi"/>
        </w:rPr>
      </w:pPr>
      <w:r>
        <w:rPr>
          <w:rFonts w:cs="Calibri" w:cstheme="minorHAnsi"/>
        </w:rPr>
        <w:t xml:space="preserve">Die Klage ist zulässig und begründet. Der streitgegenständliche Bescheid verletzt mich in meinen Rechten und ist daher aufzuheben. </w:t>
      </w:r>
    </w:p>
    <w:p>
      <w:pPr>
        <w:pStyle w:val="Normal"/>
        <w:widowControl w:val="false"/>
        <w:tabs>
          <w:tab w:val="clear" w:pos="708"/>
          <w:tab w:val="left" w:pos="2853" w:leader="none"/>
          <w:tab w:val="left" w:pos="3402" w:leader="none"/>
          <w:tab w:val="left" w:pos="10405" w:leader="none"/>
        </w:tabs>
        <w:spacing w:lineRule="atLeast" w:line="330" w:before="0" w:after="0"/>
        <w:rPr>
          <w:rFonts w:ascii="Calibri" w:hAnsi="Calibri" w:cs="Calibri" w:asciiTheme="minorHAnsi" w:cstheme="minorHAnsi" w:hAnsiTheme="minorHAnsi"/>
        </w:rPr>
      </w:pPr>
      <w:r>
        <w:rPr>
          <w:rFonts w:cs="Calibri" w:cstheme="minorHAnsi"/>
        </w:rPr>
      </w:r>
    </w:p>
    <w:p>
      <w:pPr>
        <w:pStyle w:val="Normal"/>
        <w:rPr>
          <w:rFonts w:ascii="Calibri" w:hAnsi="Calibri" w:cs="Calibri" w:asciiTheme="minorHAnsi" w:cstheme="minorHAnsi" w:hAnsiTheme="minorHAnsi"/>
        </w:rPr>
      </w:pPr>
      <w:r>
        <w:rPr>
          <w:rFonts w:cs="Calibri" w:cstheme="minorHAnsi"/>
        </w:rPr>
        <w:t xml:space="preserve">Die Voraussetzungen des § 71 AsylG i.V.m. § 51 Abs. 1-3 VwVfG für die Durchführung eines weiteren Asylverfahrens sind erfüllt. </w:t>
      </w:r>
    </w:p>
    <w:p>
      <w:pPr>
        <w:pStyle w:val="Normal"/>
        <w:rPr>
          <w:rFonts w:ascii="Calibri" w:hAnsi="Calibri" w:cs="Calibri" w:asciiTheme="minorHAnsi" w:cstheme="minorHAnsi" w:hAnsiTheme="minorHAnsi"/>
        </w:rPr>
      </w:pPr>
      <w:r>
        <w:rPr>
          <w:rFonts w:cs="Calibri" w:cstheme="minorHAnsi"/>
        </w:rPr>
        <w:t xml:space="preserve">Der EuGH hat mit Urteil vom 19.11.2020 in der Rechtssache EZ gegen Bundesrepublik Deutschland (C-238/19) über Fragen zur Zuerkennung der Flüchtlingseigenschaft an einen syrischen Kriegsdienstverweigerer entschieden. Mit dieser Entscheidung liegt eine Änderung der Rechtslage i.S.d. § 51 Abs. 1 Nr. 1 VwVfG vor. </w:t>
      </w:r>
    </w:p>
    <w:p>
      <w:pPr>
        <w:pStyle w:val="Normal"/>
        <w:rPr>
          <w:rFonts w:ascii="Calibri" w:hAnsi="Calibri" w:cs="Calibri" w:asciiTheme="minorHAnsi" w:cstheme="minorHAnsi" w:hAnsiTheme="minorHAnsi"/>
        </w:rPr>
      </w:pPr>
      <w:r>
        <w:rPr>
          <w:rFonts w:cs="Calibri" w:cstheme="minorHAnsi"/>
        </w:rPr>
        <w:t xml:space="preserve">Nach zutreffender Auffassung ist von einer Änderung der Rechtslage auszugehen, wenn eine Bestimmung des Gemeinschaftsrechts nach Bestandskraft des Erstbescheides durch den EuGH anders ausgelegt wird und sich eine Entscheidung des Bundesamtes dadurch als gemeinschaftsrechtswidrig erweist  (Müller in: NK-AuslR, § 71 AsylG, Rn. 30). </w:t>
      </w:r>
    </w:p>
    <w:p>
      <w:pPr>
        <w:pStyle w:val="Normal"/>
        <w:rPr>
          <w:rFonts w:ascii="Calibri" w:hAnsi="Calibri" w:cs="Calibri" w:asciiTheme="minorHAnsi" w:cstheme="minorHAnsi" w:hAnsiTheme="minorHAnsi"/>
        </w:rPr>
      </w:pPr>
      <w:r>
        <w:rPr>
          <w:rFonts w:cs="Calibri" w:cstheme="minorHAnsi"/>
        </w:rPr>
        <w:t xml:space="preserve">Diese Ansicht wird durch das Urteil des EuGH vom 14.05.2020 zu der Transitzone Röszke in Ungarn (C-924/19 PPU und C-925/19 PPU) bestätigt. In dieser Entscheidung hat der EuGH festgestellt, dass der von Ungarn aufgestellte Unzulässigkeitsgrund der Einreise über einen „sicheren Transitstaat“ gemeinschaftsrechtswidrig ist. Der EuGH hält zwar fest, dass die Gemeinschaftsrechtswidrigkeit nicht dazu führt, dass die Asylbehörde darauf basierende Unzulässigkeitsentscheidungen von Amts wegen zu prüfen hätte. Im Anschluss hieran betont der EuGH indessen, dass die Feststellung der Gemeinschaftsrechtswidrigkeit geeignet ist, darauf gestützte Asylfolgeanträge zu legitimieren. In Rn. 192 der Entscheidung führt der EuGH aus, dass das Vorliegen einer rechtskräftigen Entscheidung, mit der die Ablehnung eines Antrags auf internationalen Schutz aus einem unionsrechtswidrigen Grund bestätigt wurde, den Betroffenen nicht daran hindert, einen Folgeantrag im Sinne von Art. 2 Buchst. q der Richtlinie 2013/32 zu stellen. </w:t>
      </w:r>
    </w:p>
    <w:p>
      <w:pPr>
        <w:pStyle w:val="Normal"/>
        <w:rPr>
          <w:rFonts w:ascii="Calibri" w:hAnsi="Calibri" w:cs="Calibri" w:asciiTheme="minorHAnsi" w:cstheme="minorHAnsi" w:hAnsiTheme="minorHAnsi"/>
        </w:rPr>
      </w:pPr>
      <w:r>
        <w:rPr>
          <w:rFonts w:cs="Calibri" w:cstheme="minorHAnsi"/>
        </w:rPr>
        <w:t xml:space="preserve">In Rn. 194 betont der EuGH: </w:t>
      </w:r>
    </w:p>
    <w:p>
      <w:pPr>
        <w:pStyle w:val="Normal"/>
        <w:rPr>
          <w:rFonts w:ascii="Calibri" w:hAnsi="Calibri" w:cs="Calibri" w:asciiTheme="minorHAnsi" w:cstheme="minorHAnsi" w:hAnsiTheme="minorHAnsi"/>
        </w:rPr>
      </w:pPr>
      <w:r>
        <w:rPr>
          <w:rFonts w:cs="Calibri" w:cstheme="minorHAnsi"/>
          <w:i/>
        </w:rPr>
        <w:t>„</w:t>
      </w:r>
      <w:r>
        <w:rPr>
          <w:rFonts w:cs="Calibri" w:cstheme="minorHAnsi"/>
          <w:i/>
        </w:rPr>
        <w:t xml:space="preserve">Die Existenz eines Urteils des Gerichtshofes, mit dem die Unvereinbarkeit einer nationalen Regelung mit dem Unionsrecht festgestellt wird […] stellt […] im Sinne von Art. 33 Abs. 2 Buchst. d der Richtlinie 2013/32 eine neue Erkenntnis im Hinblick auf die Prüfung eines Antrags auf internationalen Schutz dar, so dass der Folgeantrag nicht auf der Grundlage dieser Bestimmung abgelehnt werden kann“. </w:t>
      </w:r>
    </w:p>
    <w:p>
      <w:pPr>
        <w:pStyle w:val="Normal"/>
        <w:rPr>
          <w:rFonts w:ascii="Calibri" w:hAnsi="Calibri" w:cs="Calibri" w:asciiTheme="minorHAnsi" w:cstheme="minorHAnsi" w:hAnsiTheme="minorHAnsi"/>
        </w:rPr>
      </w:pPr>
      <w:r>
        <w:rPr>
          <w:rFonts w:cs="Calibri" w:cstheme="minorHAnsi"/>
        </w:rPr>
        <w:t xml:space="preserve">In Rn. 198 heißt es schließlich: </w:t>
      </w:r>
    </w:p>
    <w:p>
      <w:pPr>
        <w:pStyle w:val="Normal"/>
        <w:rPr>
          <w:rFonts w:ascii="Calibri" w:hAnsi="Calibri" w:cs="Calibri" w:asciiTheme="minorHAnsi" w:cstheme="minorHAnsi" w:hAnsiTheme="minorHAnsi"/>
          <w:i/>
          <w:i/>
        </w:rPr>
      </w:pPr>
      <w:r>
        <w:rPr>
          <w:rFonts w:cs="Calibri" w:cstheme="minorHAnsi"/>
          <w:i/>
        </w:rPr>
        <w:t>„</w:t>
      </w:r>
      <w:r>
        <w:rPr>
          <w:rFonts w:cs="Calibri" w:cstheme="minorHAnsi"/>
          <w:i/>
        </w:rPr>
        <w:t>Folglich ist Art. 33 Abs. 2 Buchst. d der Richtlinie 2013/32 dahin auszulegen, dass er auf einen Folgeantrag im Sinne von Art. 2 Buchst. q dieser Richtlinie nicht anwendbar ist, wenn die Asylbehörde im Sinne von Art. 2 Buchst. f dieser Richtlinie feststellt, dass die bestandskräftige Ablehnung des früheren Antrags unionsrechtswidrig ist. Dies gilt zwingend, wenn sich die Unionsrechtswidrigkeit der Ablehnung des ersten Asylantrags wie hier aus einem Urteil des Gerichtshofs ergibt[…]“.</w:t>
      </w:r>
    </w:p>
    <w:p>
      <w:pPr>
        <w:pStyle w:val="Normal"/>
        <w:rPr>
          <w:rFonts w:ascii="Calibri" w:hAnsi="Calibri" w:cs="Calibri" w:asciiTheme="minorHAnsi" w:cstheme="minorHAnsi" w:hAnsiTheme="minorHAnsi"/>
        </w:rPr>
      </w:pPr>
      <w:r>
        <w:rPr>
          <w:rFonts w:cs="Calibri" w:cstheme="minorHAnsi"/>
        </w:rPr>
        <w:t xml:space="preserve">Der EuGH gibt damit vor, dass in Fällen, in welchen ein Folgeantrag auf eine Entscheidung des Gerichtshofs gestützt wird, aus welcher sich die Gemeinschaftsrechtswidrigkeit der Ablehnung des ersten Asylantrags ergibt, dieser Folgeantrag nicht nach Art. 33 Abs. 2 Buchst. d der Asylverfahrensrichtlinie als unzulässig abgelehnt werden darf, sondern vielmehr jene Entscheidung, auf die der Folgeantrag gestützt wird, als neues Element oder als neue Erkenntnis i.S.d. Art. 40 Abs. 2 dieser Richtlinie anzuerkennen ist. Damit besteht aber nach Art. 40 Abs. 3 der Asylverfahrensrichtlinie die Pflicht, den Asylfolgeantrag inhaltlich zu prüfen (ebenso: Hruschka, Constantin: Am Schutz orientiert: Der EuGH zum Schutz bei Verweigerung des Militärdienstes in Syrien, verfassungsblog.de vom 20.11.2020; derselbe zitiert in: EuGH zum Schutzstatus von Syren: Vorm Wehrdienst kann man flüchten, LegalTribuneOnline vom 19.11.2020). </w:t>
      </w:r>
    </w:p>
    <w:p>
      <w:pPr>
        <w:pStyle w:val="Normal"/>
        <w:rPr>
          <w:rFonts w:ascii="Calibri" w:hAnsi="Calibri" w:cs="Calibri" w:asciiTheme="minorHAnsi" w:cstheme="minorHAnsi" w:hAnsiTheme="minorHAnsi"/>
        </w:rPr>
      </w:pPr>
      <w:r>
        <w:rPr>
          <w:rFonts w:cs="Calibri" w:cstheme="minorHAnsi"/>
        </w:rPr>
        <w:t xml:space="preserve">Nach nationalem Recht lässt sich dies nur durch gemeinschaftsrechtskonforme Auslegung des § 51 Abs. 1 Nr. 1 VwVfG umsetzen, indem die Rechtsprechung des EuGH als Änderung der Rechtslage i.S.d. Norm anerkannt wird. </w:t>
      </w:r>
    </w:p>
    <w:p>
      <w:pPr>
        <w:pStyle w:val="Normal"/>
        <w:rPr>
          <w:rFonts w:ascii="Calibri" w:hAnsi="Calibri" w:cs="Calibri" w:asciiTheme="minorHAnsi" w:cstheme="minorHAnsi" w:hAnsiTheme="minorHAnsi"/>
        </w:rPr>
      </w:pPr>
      <w:r>
        <w:rPr>
          <w:rFonts w:cs="Calibri" w:cstheme="minorHAnsi"/>
        </w:rPr>
        <w:t xml:space="preserve">Der Gegenauffassung, wonach (Änderung der) Rechtsprechung – auch des EuGH – mit Ausnahme von Entscheidungen des Bundesverfassungsgerichts mit Bindungswirkung nach § 31 BVerfGG keine Änderung der Rechtslage darstelle (Bergmann in: Bergmann/Dienelt, AuslR, § 71 AsylG, Rn. 25) kann nach dem Vorstehenden nicht mehr gefolgt werden. </w:t>
      </w:r>
    </w:p>
    <w:p>
      <w:pPr>
        <w:pStyle w:val="Normal"/>
        <w:widowControl w:val="false"/>
        <w:tabs>
          <w:tab w:val="clear" w:pos="708"/>
          <w:tab w:val="left" w:pos="2853" w:leader="none"/>
          <w:tab w:val="left" w:pos="3402" w:leader="none"/>
          <w:tab w:val="left" w:pos="10405" w:leader="none"/>
        </w:tabs>
        <w:spacing w:lineRule="atLeast" w:line="330" w:before="0" w:after="0"/>
        <w:rPr>
          <w:rFonts w:ascii="Calibri" w:hAnsi="Calibri" w:cs="Calibri" w:asciiTheme="minorHAnsi" w:cstheme="minorHAnsi" w:hAnsiTheme="minorHAnsi"/>
        </w:rPr>
      </w:pPr>
      <w:r>
        <w:rPr>
          <w:rFonts w:cs="Calibri" w:cstheme="minorHAnsi"/>
        </w:rPr>
        <w:t>Daher ist antragsgemäß zu entscheiden.</w:t>
      </w:r>
    </w:p>
    <w:p>
      <w:pPr>
        <w:pStyle w:val="Normal"/>
        <w:widowControl w:val="false"/>
        <w:tabs>
          <w:tab w:val="clear" w:pos="708"/>
          <w:tab w:val="left" w:pos="2853" w:leader="none"/>
          <w:tab w:val="left" w:pos="3402" w:leader="none"/>
          <w:tab w:val="left" w:pos="10405" w:leader="none"/>
        </w:tabs>
        <w:spacing w:lineRule="atLeast" w:line="330" w:before="0" w:after="0"/>
        <w:rPr>
          <w:rFonts w:ascii="Calibri" w:hAnsi="Calibri" w:cs="Calibri" w:asciiTheme="minorHAnsi" w:cstheme="minorHAnsi" w:hAnsiTheme="minorHAnsi"/>
        </w:rPr>
      </w:pPr>
      <w:r>
        <w:rPr>
          <w:rFonts w:cs="Calibri" w:cstheme="minorHAnsi"/>
        </w:rPr>
      </w:r>
    </w:p>
    <w:p>
      <w:pPr>
        <w:pStyle w:val="Normal"/>
        <w:widowControl w:val="false"/>
        <w:tabs>
          <w:tab w:val="clear" w:pos="708"/>
          <w:tab w:val="left" w:pos="2853" w:leader="none"/>
          <w:tab w:val="left" w:pos="3402" w:leader="none"/>
          <w:tab w:val="left" w:pos="10405" w:leader="none"/>
        </w:tabs>
        <w:spacing w:lineRule="atLeast" w:line="330" w:before="0" w:after="0"/>
        <w:rPr>
          <w:rFonts w:ascii="Calibri" w:hAnsi="Calibri" w:cs="Calibri" w:asciiTheme="minorHAnsi" w:cstheme="minorHAnsi" w:hAnsiTheme="minorHAnsi"/>
        </w:rPr>
      </w:pPr>
      <w:r>
        <w:rPr>
          <w:rFonts w:cs="Calibri" w:cstheme="minorHAnsi"/>
        </w:rPr>
      </w:r>
    </w:p>
    <w:p>
      <w:pPr>
        <w:pStyle w:val="Normal"/>
        <w:widowControl w:val="false"/>
        <w:tabs>
          <w:tab w:val="clear" w:pos="708"/>
          <w:tab w:val="left" w:pos="2853" w:leader="none"/>
          <w:tab w:val="left" w:pos="3402" w:leader="none"/>
          <w:tab w:val="left" w:pos="10405" w:leader="none"/>
        </w:tabs>
        <w:spacing w:lineRule="atLeast" w:line="330" w:before="0" w:after="0"/>
        <w:rPr>
          <w:rFonts w:ascii="Calibri" w:hAnsi="Calibri" w:cs="Calibri" w:asciiTheme="minorHAnsi" w:cstheme="minorHAnsi" w:hAnsiTheme="minorHAnsi"/>
        </w:rPr>
      </w:pPr>
      <w:r>
        <w:rPr>
          <w:rFonts w:cs="Calibri" w:cstheme="minorHAnsi"/>
        </w:rPr>
      </w:r>
    </w:p>
    <w:p>
      <w:pPr>
        <w:pStyle w:val="Normal"/>
        <w:widowControl w:val="false"/>
        <w:tabs>
          <w:tab w:val="clear" w:pos="708"/>
          <w:tab w:val="left" w:pos="2853" w:leader="none"/>
          <w:tab w:val="left" w:pos="3402" w:leader="none"/>
          <w:tab w:val="left" w:pos="10405" w:leader="none"/>
        </w:tabs>
        <w:spacing w:lineRule="atLeast" w:line="330" w:before="0" w:after="0"/>
        <w:rPr>
          <w:rFonts w:ascii="Calibri" w:hAnsi="Calibri" w:cs="Calibri" w:asciiTheme="minorHAnsi" w:cstheme="minorHAnsi" w:hAnsiTheme="minorHAnsi"/>
        </w:rPr>
      </w:pPr>
      <w:r>
        <w:rPr>
          <w:rFonts w:cs="Calibri" w:cstheme="minorHAnsi"/>
        </w:rPr>
        <w:t>(Name)</w:t>
      </w:r>
    </w:p>
    <w:p>
      <w:pPr>
        <w:pStyle w:val="Normal"/>
        <w:widowControl w:val="false"/>
        <w:tabs>
          <w:tab w:val="clear" w:pos="708"/>
          <w:tab w:val="left" w:pos="2853" w:leader="none"/>
          <w:tab w:val="left" w:pos="3402" w:leader="none"/>
          <w:tab w:val="left" w:pos="10405" w:leader="none"/>
        </w:tabs>
        <w:spacing w:lineRule="atLeast" w:line="330" w:before="0" w:after="0"/>
        <w:rPr>
          <w:rFonts w:ascii="Calibri" w:hAnsi="Calibri" w:cs="Calibri" w:asciiTheme="minorHAnsi" w:cstheme="minorHAnsi" w:hAnsiTheme="minorHAnsi"/>
        </w:rPr>
      </w:pPr>
      <w:r>
        <w:rPr>
          <w:rFonts w:cs="Calibri" w:cstheme="minorHAnsi"/>
        </w:rPr>
        <w:t>(Unterschrift)</w:t>
      </w:r>
    </w:p>
    <w:p>
      <w:pPr>
        <w:pStyle w:val="Normal"/>
        <w:widowControl w:val="false"/>
        <w:tabs>
          <w:tab w:val="clear" w:pos="708"/>
          <w:tab w:val="left" w:pos="2853" w:leader="none"/>
          <w:tab w:val="left" w:pos="3402" w:leader="none"/>
          <w:tab w:val="left" w:pos="3493" w:leader="none"/>
          <w:tab w:val="left" w:pos="4253" w:leader="none"/>
          <w:tab w:val="left" w:pos="4536" w:leader="none"/>
          <w:tab w:val="left" w:pos="10405" w:leader="none"/>
        </w:tabs>
        <w:spacing w:lineRule="atLeast" w:line="330" w:before="0" w:after="0"/>
        <w:ind w:left="1701" w:hanging="0"/>
        <w:rPr>
          <w:rFonts w:ascii="Calibri" w:hAnsi="Calibri" w:cs="Calibri" w:asciiTheme="minorHAnsi" w:cstheme="minorHAnsi" w:hAnsiTheme="minorHAnsi"/>
        </w:rPr>
      </w:pPr>
      <w:r>
        <w:rPr>
          <w:rFonts w:cs="Calibri" w:cstheme="minorHAnsi"/>
        </w:rPr>
      </w:r>
    </w:p>
    <w:p>
      <w:pPr>
        <w:pStyle w:val="Normal"/>
        <w:spacing w:before="0" w:after="200"/>
        <w:rPr/>
      </w:pPr>
      <w:r>
        <w:rPr/>
      </w:r>
    </w:p>
    <w:sectPr>
      <w:type w:val="nextPage"/>
      <w:pgSz w:w="11906" w:h="16838"/>
      <w:pgMar w:left="1417" w:right="1417"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225"/>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a6b0d"/>
    <w:pPr>
      <w:widowControl/>
      <w:suppressAutoHyphens w:val="true"/>
      <w:bidi w:val="0"/>
      <w:spacing w:lineRule="auto" w:line="276" w:before="0" w:after="200"/>
      <w:jc w:val="left"/>
    </w:pPr>
    <w:rPr>
      <w:rFonts w:ascii="Calibri" w:hAnsi="Calibri" w:eastAsia="F" w:cs="F"/>
      <w:color w:val="00000A"/>
      <w:kern w:val="2"/>
      <w:sz w:val="22"/>
      <w:szCs w:val="22"/>
      <w:lang w:eastAsia="de-DE" w:val="de-DE" w:bidi="ar-SA"/>
    </w:rPr>
  </w:style>
  <w:style w:type="character" w:styleId="DefaultParagraphFont" w:default="1">
    <w:name w:val="Default Paragraph Font"/>
    <w:uiPriority w:val="1"/>
    <w:semiHidden/>
    <w:unhideWhenUsed/>
    <w:qFormat/>
    <w:rPr/>
  </w:style>
  <w:style w:type="paragraph" w:styleId="Berschrift">
    <w:name w:val="Überschrift"/>
    <w:basedOn w:val="Normal"/>
    <w:next w:val="Textkrper"/>
    <w:qFormat/>
    <w:pPr>
      <w:keepNext w:val="true"/>
      <w:spacing w:before="240" w:after="120"/>
    </w:pPr>
    <w:rPr>
      <w:rFonts w:ascii="Liberation Sans" w:hAnsi="Liberation Sans" w:eastAsia="Noto Sans CJK SC Regular" w:cs="Noto Sans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Noto Sans Devanagari"/>
    </w:rPr>
  </w:style>
  <w:style w:type="paragraph" w:styleId="Beschriftung">
    <w:name w:val="Caption"/>
    <w:basedOn w:val="Normal"/>
    <w:qFormat/>
    <w:pPr>
      <w:suppressLineNumbers/>
      <w:spacing w:before="120" w:after="120"/>
    </w:pPr>
    <w:rPr>
      <w:rFonts w:cs="Noto Sans Devanagari"/>
      <w:i/>
      <w:iCs/>
      <w:sz w:val="24"/>
      <w:szCs w:val="24"/>
    </w:rPr>
  </w:style>
  <w:style w:type="paragraph" w:styleId="Verzeichnis">
    <w:name w:val="Verzeichnis"/>
    <w:basedOn w:val="Normal"/>
    <w:qFormat/>
    <w:pPr>
      <w:suppressLineNumbers/>
    </w:pPr>
    <w:rPr>
      <w:rFonts w:cs="Noto Sans Devanagari"/>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LibreOffice/6.1.5.2$Linux_X86_64 LibreOffice_project/10$Build-2</Application>
  <Pages>4</Pages>
  <Words>770</Words>
  <Characters>4806</Characters>
  <CharactersWithSpaces>5942</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2021-03-29T08:27:00Z</dcterms:created>
  <dc:creator>Peter von Auer</dc:creator>
  <dc:description/>
  <dc:language>de-DE</dc:language>
  <cp:lastModifiedBy>Peter von Auer</cp:lastModifiedBy>
  <dcterms:modified xsi:type="dcterms:W3CDTF">2021-04-13T09:52:00Z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